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Pr="00546037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46037" w:rsidRDefault="00546037" w:rsidP="00546037">
      <w:pPr>
        <w:pStyle w:val="Norml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46037">
        <w:rPr>
          <w:rFonts w:ascii="Times New Roman" w:hAnsi="Times New Roman" w:cs="Times New Roman"/>
          <w:b/>
          <w:sz w:val="28"/>
          <w:szCs w:val="28"/>
          <w:u w:val="single"/>
        </w:rPr>
        <w:t>Constitutionalism</w:t>
      </w:r>
      <w:proofErr w:type="spellEnd"/>
      <w:r w:rsidRPr="0054603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46037">
        <w:rPr>
          <w:rFonts w:ascii="Times New Roman" w:hAnsi="Times New Roman" w:cs="Times New Roman"/>
          <w:b/>
          <w:sz w:val="28"/>
          <w:szCs w:val="28"/>
          <w:u w:val="single"/>
        </w:rPr>
        <w:t>in</w:t>
      </w:r>
      <w:proofErr w:type="spellEnd"/>
      <w:r w:rsidRPr="00546037">
        <w:rPr>
          <w:rFonts w:ascii="Times New Roman" w:hAnsi="Times New Roman" w:cs="Times New Roman"/>
          <w:b/>
          <w:sz w:val="28"/>
          <w:szCs w:val="28"/>
          <w:u w:val="single"/>
        </w:rPr>
        <w:t xml:space="preserve"> Action</w:t>
      </w:r>
    </w:p>
    <w:p w:rsidR="00546037" w:rsidRDefault="00546037" w:rsidP="00546037">
      <w:pPr>
        <w:pStyle w:val="Norml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6037" w:rsidRPr="00546037" w:rsidRDefault="00546037" w:rsidP="00546037">
      <w:pPr>
        <w:pStyle w:val="Norml1"/>
        <w:rPr>
          <w:rFonts w:ascii="Times New Roman" w:hAnsi="Times New Roman" w:cs="Times New Roman"/>
          <w:sz w:val="24"/>
          <w:szCs w:val="24"/>
        </w:rPr>
      </w:pPr>
      <w:proofErr w:type="spellStart"/>
      <w:r w:rsidRPr="00546037">
        <w:rPr>
          <w:rFonts w:ascii="Times New Roman" w:hAnsi="Times New Roman" w:cs="Times New Roman"/>
          <w:b/>
          <w:sz w:val="24"/>
          <w:szCs w:val="24"/>
        </w:rPr>
        <w:t>Lecturers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>: dr. Bernadette Somody, dr. Emese Pásztor (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Constitutional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Law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>)</w:t>
      </w:r>
    </w:p>
    <w:p w:rsidR="00546037" w:rsidRPr="00546037" w:rsidRDefault="00546037" w:rsidP="00546037">
      <w:pPr>
        <w:pStyle w:val="Norml1"/>
        <w:rPr>
          <w:rFonts w:ascii="Times New Roman" w:hAnsi="Times New Roman" w:cs="Times New Roman"/>
          <w:sz w:val="24"/>
          <w:szCs w:val="24"/>
        </w:rPr>
      </w:pPr>
    </w:p>
    <w:p w:rsidR="00546037" w:rsidRPr="00546037" w:rsidRDefault="00546037" w:rsidP="00546037">
      <w:pPr>
        <w:pStyle w:val="Norml1"/>
        <w:jc w:val="both"/>
        <w:rPr>
          <w:rFonts w:ascii="Times New Roman" w:hAnsi="Times New Roman" w:cs="Times New Roman"/>
          <w:sz w:val="24"/>
          <w:szCs w:val="24"/>
        </w:rPr>
      </w:pPr>
      <w:r w:rsidRPr="0054603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focuses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fundamental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constitutional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rule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, human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constitutional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secure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constitutional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constitutional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court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ordinary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courts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and an ombudsman,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citizens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possibilities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bring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operation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triggering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fundamental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of assembly,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participate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forming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affairs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possibility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exercising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constitute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covers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fundamental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democratic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citizens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possibilities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legal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mechanisms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instruments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constitutionalism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>.</w:t>
      </w:r>
    </w:p>
    <w:p w:rsidR="00546037" w:rsidRPr="00546037" w:rsidRDefault="00546037" w:rsidP="00546037">
      <w:pPr>
        <w:pStyle w:val="Norml1"/>
        <w:jc w:val="both"/>
        <w:rPr>
          <w:rFonts w:ascii="Times New Roman" w:hAnsi="Times New Roman" w:cs="Times New Roman"/>
          <w:sz w:val="24"/>
          <w:szCs w:val="24"/>
        </w:rPr>
      </w:pPr>
    </w:p>
    <w:p w:rsidR="00546037" w:rsidRPr="00546037" w:rsidRDefault="00546037" w:rsidP="00546037">
      <w:pPr>
        <w:pStyle w:val="Norml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037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546037">
        <w:rPr>
          <w:rFonts w:ascii="Times New Roman" w:hAnsi="Times New Roman" w:cs="Times New Roman"/>
          <w:b/>
          <w:sz w:val="24"/>
          <w:szCs w:val="24"/>
        </w:rPr>
        <w:t>aim</w:t>
      </w:r>
      <w:proofErr w:type="spellEnd"/>
      <w:r w:rsidRPr="00546037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54603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460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b/>
          <w:sz w:val="24"/>
          <w:szCs w:val="24"/>
        </w:rPr>
        <w:t>course</w:t>
      </w:r>
      <w:proofErr w:type="spellEnd"/>
    </w:p>
    <w:p w:rsidR="00546037" w:rsidRPr="00546037" w:rsidRDefault="00546037" w:rsidP="00546037">
      <w:pPr>
        <w:pStyle w:val="Norml1"/>
        <w:jc w:val="both"/>
        <w:rPr>
          <w:rFonts w:ascii="Times New Roman" w:hAnsi="Times New Roman" w:cs="Times New Roman"/>
          <w:sz w:val="24"/>
          <w:szCs w:val="24"/>
        </w:rPr>
      </w:pPr>
    </w:p>
    <w:p w:rsidR="00546037" w:rsidRPr="00546037" w:rsidRDefault="00546037" w:rsidP="00546037">
      <w:pPr>
        <w:pStyle w:val="Norml1"/>
        <w:jc w:val="both"/>
        <w:rPr>
          <w:rFonts w:ascii="Times New Roman" w:hAnsi="Times New Roman" w:cs="Times New Roman"/>
          <w:sz w:val="24"/>
          <w:szCs w:val="24"/>
        </w:rPr>
      </w:pPr>
      <w:r w:rsidRPr="0054603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an overall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picture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margin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manoeuvre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opened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citizens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constitutionalism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beyond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mindset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transmitted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a more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thoughtful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determinate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, and an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enhanced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confidence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affairs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>.</w:t>
      </w:r>
    </w:p>
    <w:p w:rsidR="00546037" w:rsidRPr="00546037" w:rsidRDefault="00546037" w:rsidP="00546037">
      <w:pPr>
        <w:pStyle w:val="Norml1"/>
        <w:jc w:val="both"/>
        <w:rPr>
          <w:rFonts w:ascii="Times New Roman" w:hAnsi="Times New Roman" w:cs="Times New Roman"/>
          <w:sz w:val="24"/>
          <w:szCs w:val="24"/>
        </w:rPr>
      </w:pPr>
    </w:p>
    <w:p w:rsidR="00546037" w:rsidRPr="00546037" w:rsidRDefault="00546037" w:rsidP="00546037">
      <w:pPr>
        <w:pStyle w:val="Norml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6037">
        <w:rPr>
          <w:rFonts w:ascii="Times New Roman" w:hAnsi="Times New Roman" w:cs="Times New Roman"/>
          <w:b/>
          <w:sz w:val="24"/>
          <w:szCs w:val="24"/>
        </w:rPr>
        <w:t>Subject</w:t>
      </w:r>
      <w:proofErr w:type="spellEnd"/>
      <w:r w:rsidRPr="005460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</w:p>
    <w:p w:rsidR="00546037" w:rsidRPr="00546037" w:rsidRDefault="00546037" w:rsidP="00546037">
      <w:pPr>
        <w:pStyle w:val="Norml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6037" w:rsidRPr="00546037" w:rsidRDefault="00546037" w:rsidP="00546037">
      <w:pPr>
        <w:pStyle w:val="Norml1"/>
        <w:jc w:val="both"/>
        <w:rPr>
          <w:rFonts w:ascii="Times New Roman" w:hAnsi="Times New Roman" w:cs="Times New Roman"/>
          <w:sz w:val="24"/>
          <w:szCs w:val="24"/>
        </w:rPr>
      </w:pPr>
      <w:r w:rsidRPr="0054603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builds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in-class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independent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prep-work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printed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handouts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elaborate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case-studies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selected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Hungarian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legal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emphasis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comparative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considerations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Beyond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essay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freely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chosen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>.</w:t>
      </w:r>
    </w:p>
    <w:p w:rsidR="00546037" w:rsidRPr="00546037" w:rsidRDefault="00546037" w:rsidP="00546037">
      <w:pPr>
        <w:pStyle w:val="Norml1"/>
        <w:jc w:val="both"/>
        <w:rPr>
          <w:rFonts w:ascii="Times New Roman" w:hAnsi="Times New Roman" w:cs="Times New Roman"/>
          <w:sz w:val="24"/>
          <w:szCs w:val="24"/>
        </w:rPr>
      </w:pPr>
    </w:p>
    <w:p w:rsidR="00546037" w:rsidRPr="00546037" w:rsidRDefault="00546037" w:rsidP="00546037">
      <w:pPr>
        <w:pStyle w:val="Norml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6037">
        <w:rPr>
          <w:rFonts w:ascii="Times New Roman" w:hAnsi="Times New Roman" w:cs="Times New Roman"/>
          <w:b/>
          <w:sz w:val="24"/>
          <w:szCs w:val="24"/>
        </w:rPr>
        <w:t>Syllabus</w:t>
      </w:r>
      <w:proofErr w:type="spellEnd"/>
    </w:p>
    <w:p w:rsidR="00546037" w:rsidRPr="00546037" w:rsidRDefault="00546037" w:rsidP="00546037">
      <w:pPr>
        <w:pStyle w:val="Norml1"/>
        <w:rPr>
          <w:rFonts w:ascii="Times New Roman" w:hAnsi="Times New Roman" w:cs="Times New Roman"/>
          <w:sz w:val="24"/>
          <w:szCs w:val="24"/>
        </w:rPr>
      </w:pPr>
    </w:p>
    <w:p w:rsidR="00546037" w:rsidRPr="00546037" w:rsidRDefault="00546037" w:rsidP="00546037">
      <w:pPr>
        <w:pStyle w:val="Norml1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Conceptual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democratic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mechanisms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constitution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Hungarian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comparative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perspective</w:t>
      </w:r>
      <w:proofErr w:type="spellEnd"/>
    </w:p>
    <w:p w:rsidR="00546037" w:rsidRPr="00546037" w:rsidRDefault="00546037" w:rsidP="00546037">
      <w:pPr>
        <w:pStyle w:val="Norml1"/>
        <w:rPr>
          <w:rFonts w:ascii="Times New Roman" w:hAnsi="Times New Roman" w:cs="Times New Roman"/>
          <w:sz w:val="24"/>
          <w:szCs w:val="24"/>
        </w:rPr>
      </w:pPr>
    </w:p>
    <w:p w:rsidR="00546037" w:rsidRPr="00546037" w:rsidRDefault="00546037" w:rsidP="00546037">
      <w:pPr>
        <w:pStyle w:val="Norml1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46037">
        <w:rPr>
          <w:rFonts w:ascii="Times New Roman" w:hAnsi="Times New Roman" w:cs="Times New Roman"/>
          <w:sz w:val="24"/>
          <w:szCs w:val="24"/>
        </w:rPr>
        <w:t xml:space="preserve">Citizen’s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role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constitutional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adjudication</w:t>
      </w:r>
      <w:proofErr w:type="spellEnd"/>
    </w:p>
    <w:p w:rsidR="00546037" w:rsidRPr="00546037" w:rsidRDefault="00546037" w:rsidP="00546037">
      <w:pPr>
        <w:pStyle w:val="Norml1"/>
        <w:rPr>
          <w:rFonts w:ascii="Times New Roman" w:hAnsi="Times New Roman" w:cs="Times New Roman"/>
          <w:sz w:val="24"/>
          <w:szCs w:val="24"/>
        </w:rPr>
      </w:pPr>
    </w:p>
    <w:p w:rsidR="00546037" w:rsidRDefault="00546037" w:rsidP="00546037">
      <w:pPr>
        <w:pStyle w:val="Norml1"/>
        <w:ind w:left="720"/>
        <w:rPr>
          <w:rFonts w:ascii="Times New Roman" w:hAnsi="Times New Roman" w:cs="Times New Roman"/>
          <w:sz w:val="24"/>
          <w:szCs w:val="24"/>
        </w:rPr>
      </w:pPr>
    </w:p>
    <w:p w:rsidR="00546037" w:rsidRDefault="00546037" w:rsidP="00546037">
      <w:pPr>
        <w:pStyle w:val="Norml1"/>
        <w:ind w:left="720"/>
        <w:rPr>
          <w:rFonts w:ascii="Times New Roman" w:hAnsi="Times New Roman" w:cs="Times New Roman"/>
          <w:sz w:val="24"/>
          <w:szCs w:val="24"/>
        </w:rPr>
      </w:pPr>
    </w:p>
    <w:p w:rsidR="00546037" w:rsidRDefault="00546037" w:rsidP="00546037">
      <w:pPr>
        <w:pStyle w:val="Norml1"/>
        <w:ind w:left="720"/>
        <w:rPr>
          <w:rFonts w:ascii="Times New Roman" w:hAnsi="Times New Roman" w:cs="Times New Roman"/>
          <w:sz w:val="24"/>
          <w:szCs w:val="24"/>
        </w:rPr>
      </w:pPr>
    </w:p>
    <w:p w:rsidR="00546037" w:rsidRDefault="00546037" w:rsidP="00546037">
      <w:pPr>
        <w:pStyle w:val="Norml1"/>
        <w:ind w:left="720"/>
        <w:rPr>
          <w:rFonts w:ascii="Times New Roman" w:hAnsi="Times New Roman" w:cs="Times New Roman"/>
          <w:sz w:val="24"/>
          <w:szCs w:val="24"/>
        </w:rPr>
      </w:pPr>
    </w:p>
    <w:p w:rsidR="00546037" w:rsidRDefault="00546037" w:rsidP="00546037">
      <w:pPr>
        <w:pStyle w:val="Norml1"/>
        <w:ind w:left="720"/>
        <w:rPr>
          <w:rFonts w:ascii="Times New Roman" w:hAnsi="Times New Roman" w:cs="Times New Roman"/>
          <w:sz w:val="24"/>
          <w:szCs w:val="24"/>
        </w:rPr>
      </w:pPr>
    </w:p>
    <w:p w:rsidR="00546037" w:rsidRDefault="00546037" w:rsidP="00546037">
      <w:pPr>
        <w:pStyle w:val="Norml1"/>
        <w:ind w:left="720"/>
        <w:rPr>
          <w:rFonts w:ascii="Times New Roman" w:hAnsi="Times New Roman" w:cs="Times New Roman"/>
          <w:sz w:val="24"/>
          <w:szCs w:val="24"/>
        </w:rPr>
      </w:pPr>
    </w:p>
    <w:p w:rsidR="00546037" w:rsidRDefault="00546037" w:rsidP="00546037">
      <w:pPr>
        <w:pStyle w:val="Norml1"/>
        <w:ind w:left="720"/>
        <w:rPr>
          <w:rFonts w:ascii="Times New Roman" w:hAnsi="Times New Roman" w:cs="Times New Roman"/>
          <w:sz w:val="24"/>
          <w:szCs w:val="24"/>
        </w:rPr>
      </w:pPr>
    </w:p>
    <w:p w:rsidR="00546037" w:rsidRPr="00546037" w:rsidRDefault="00546037" w:rsidP="00546037">
      <w:pPr>
        <w:pStyle w:val="Norml1"/>
        <w:ind w:left="720"/>
        <w:rPr>
          <w:rFonts w:ascii="Times New Roman" w:hAnsi="Times New Roman" w:cs="Times New Roman"/>
          <w:sz w:val="24"/>
          <w:szCs w:val="24"/>
        </w:rPr>
      </w:pPr>
      <w:r w:rsidRPr="00546037">
        <w:rPr>
          <w:rFonts w:ascii="Times New Roman" w:hAnsi="Times New Roman" w:cs="Times New Roman"/>
          <w:sz w:val="24"/>
          <w:szCs w:val="24"/>
        </w:rPr>
        <w:t xml:space="preserve">B. Somody - B.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Vissy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Citizens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role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constitutional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adjudication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is Hungary: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actio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popularis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constitutional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complaint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[</w:t>
      </w:r>
      <w:hyperlink r:id="rId9">
        <w:r w:rsidRPr="0054603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https://www.ajk.elte.hu/file/annales_2012_05_SomodyVissy.pdf</w:t>
        </w:r>
      </w:hyperlink>
      <w:r w:rsidRPr="00546037">
        <w:rPr>
          <w:rFonts w:ascii="Times New Roman" w:hAnsi="Times New Roman" w:cs="Times New Roman"/>
          <w:sz w:val="24"/>
          <w:szCs w:val="24"/>
        </w:rPr>
        <w:t>]</w:t>
      </w:r>
    </w:p>
    <w:p w:rsidR="00546037" w:rsidRPr="00546037" w:rsidRDefault="00546037" w:rsidP="00546037">
      <w:pPr>
        <w:pStyle w:val="Norml1"/>
        <w:rPr>
          <w:rFonts w:ascii="Times New Roman" w:hAnsi="Times New Roman" w:cs="Times New Roman"/>
          <w:sz w:val="24"/>
          <w:szCs w:val="24"/>
        </w:rPr>
      </w:pPr>
    </w:p>
    <w:p w:rsidR="00546037" w:rsidRPr="00546037" w:rsidRDefault="00546037" w:rsidP="00546037">
      <w:pPr>
        <w:pStyle w:val="Norml1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46037">
        <w:rPr>
          <w:rFonts w:ascii="Times New Roman" w:hAnsi="Times New Roman" w:cs="Times New Roman"/>
          <w:sz w:val="24"/>
          <w:szCs w:val="24"/>
        </w:rPr>
        <w:t xml:space="preserve">Ombudsman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protector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constitutional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interest</w:t>
      </w:r>
    </w:p>
    <w:p w:rsidR="00546037" w:rsidRPr="00546037" w:rsidRDefault="00546037" w:rsidP="00546037">
      <w:pPr>
        <w:pStyle w:val="Norml1"/>
        <w:rPr>
          <w:rFonts w:ascii="Times New Roman" w:hAnsi="Times New Roman" w:cs="Times New Roman"/>
          <w:sz w:val="24"/>
          <w:szCs w:val="24"/>
        </w:rPr>
      </w:pPr>
    </w:p>
    <w:p w:rsidR="00546037" w:rsidRPr="00546037" w:rsidRDefault="00546037" w:rsidP="00546037">
      <w:pPr>
        <w:pStyle w:val="Cmsor2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0" w:after="340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hsrnucpz9pwe" w:colFirst="0" w:colLast="0"/>
      <w:bookmarkEnd w:id="0"/>
      <w:proofErr w:type="spellStart"/>
      <w:r w:rsidRPr="00546037">
        <w:rPr>
          <w:rFonts w:ascii="Times New Roman" w:hAnsi="Times New Roman" w:cs="Times New Roman"/>
          <w:sz w:val="24"/>
          <w:szCs w:val="24"/>
        </w:rPr>
        <w:t>Opinion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Legal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Arising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Drafting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Constitution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of Hungary -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Adopted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Venice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Commission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86th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Plenary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Session (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Venice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, 25-26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2011) §§ 55-69. [</w:t>
      </w:r>
      <w:hyperlink r:id="rId10">
        <w:r w:rsidRPr="0054603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http://www.venice.coe.int/webforms/documents/?pdf=CDL-AD(2011)001-e</w:t>
        </w:r>
      </w:hyperlink>
      <w:r w:rsidRPr="00546037">
        <w:rPr>
          <w:rFonts w:ascii="Times New Roman" w:hAnsi="Times New Roman" w:cs="Times New Roman"/>
          <w:sz w:val="24"/>
          <w:szCs w:val="24"/>
        </w:rPr>
        <w:t>]</w:t>
      </w:r>
    </w:p>
    <w:p w:rsidR="00546037" w:rsidRPr="00546037" w:rsidRDefault="00546037" w:rsidP="00546037">
      <w:pPr>
        <w:pStyle w:val="Cmsor2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0" w:after="340"/>
        <w:ind w:left="720"/>
        <w:rPr>
          <w:rFonts w:ascii="Times New Roman" w:hAnsi="Times New Roman" w:cs="Times New Roman"/>
          <w:sz w:val="24"/>
          <w:szCs w:val="24"/>
        </w:rPr>
      </w:pPr>
      <w:bookmarkStart w:id="1" w:name="_z49fd0jv5i5q" w:colFirst="0" w:colLast="0"/>
      <w:bookmarkEnd w:id="1"/>
      <w:proofErr w:type="spellStart"/>
      <w:r w:rsidRPr="00546037">
        <w:rPr>
          <w:rFonts w:ascii="Times New Roman" w:hAnsi="Times New Roman" w:cs="Times New Roman"/>
          <w:sz w:val="24"/>
          <w:szCs w:val="24"/>
        </w:rPr>
        <w:t>Extracts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Annual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Reports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Commissioner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Fundamental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[</w:t>
      </w:r>
      <w:hyperlink r:id="rId11">
        <w:r w:rsidRPr="0054603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http://www.ajbh.hu/en/web/ajbh-en/annual-reports</w:t>
        </w:r>
      </w:hyperlink>
      <w:r w:rsidRPr="00546037">
        <w:rPr>
          <w:rFonts w:ascii="Times New Roman" w:hAnsi="Times New Roman" w:cs="Times New Roman"/>
          <w:sz w:val="24"/>
          <w:szCs w:val="24"/>
        </w:rPr>
        <w:t>]</w:t>
      </w:r>
    </w:p>
    <w:p w:rsidR="00546037" w:rsidRPr="00546037" w:rsidRDefault="00546037" w:rsidP="00546037">
      <w:pPr>
        <w:pStyle w:val="Norml1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46037">
        <w:rPr>
          <w:rFonts w:ascii="Times New Roman" w:hAnsi="Times New Roman" w:cs="Times New Roman"/>
          <w:sz w:val="24"/>
          <w:szCs w:val="24"/>
        </w:rPr>
        <w:t xml:space="preserve">Referendum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involving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citizens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decision-making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process</w:t>
      </w:r>
      <w:proofErr w:type="spellEnd"/>
    </w:p>
    <w:p w:rsidR="00546037" w:rsidRPr="00546037" w:rsidRDefault="00546037" w:rsidP="00546037">
      <w:pPr>
        <w:pStyle w:val="Norml1"/>
        <w:rPr>
          <w:rFonts w:ascii="Times New Roman" w:hAnsi="Times New Roman" w:cs="Times New Roman"/>
          <w:sz w:val="24"/>
          <w:szCs w:val="24"/>
        </w:rPr>
      </w:pPr>
    </w:p>
    <w:p w:rsidR="00546037" w:rsidRPr="00546037" w:rsidRDefault="00546037" w:rsidP="00546037">
      <w:pPr>
        <w:pStyle w:val="Norml1"/>
        <w:ind w:left="720"/>
        <w:rPr>
          <w:rFonts w:ascii="Times New Roman" w:hAnsi="Times New Roman" w:cs="Times New Roman"/>
          <w:sz w:val="24"/>
          <w:szCs w:val="24"/>
        </w:rPr>
      </w:pPr>
      <w:r w:rsidRPr="00546037">
        <w:rPr>
          <w:rFonts w:ascii="Times New Roman" w:hAnsi="Times New Roman" w:cs="Times New Roman"/>
          <w:sz w:val="24"/>
          <w:szCs w:val="24"/>
        </w:rPr>
        <w:t xml:space="preserve">Z. Pozsár: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Direct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Hungary: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popular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sovereignty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popular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illusion</w:t>
      </w:r>
      <w:proofErr w:type="spellEnd"/>
    </w:p>
    <w:p w:rsidR="00546037" w:rsidRPr="00546037" w:rsidRDefault="00546037" w:rsidP="00546037">
      <w:pPr>
        <w:pStyle w:val="Norml1"/>
        <w:ind w:left="720"/>
        <w:rPr>
          <w:rFonts w:ascii="Times New Roman" w:hAnsi="Times New Roman" w:cs="Times New Roman"/>
          <w:sz w:val="24"/>
          <w:szCs w:val="24"/>
        </w:rPr>
      </w:pPr>
      <w:r w:rsidRPr="00546037">
        <w:rPr>
          <w:rFonts w:ascii="Times New Roman" w:hAnsi="Times New Roman" w:cs="Times New Roman"/>
          <w:sz w:val="24"/>
          <w:szCs w:val="24"/>
        </w:rPr>
        <w:t>[</w:t>
      </w:r>
      <w:hyperlink r:id="rId12">
        <w:r w:rsidRPr="00546037">
          <w:rPr>
            <w:rFonts w:ascii="Times New Roman" w:hAnsi="Times New Roman" w:cs="Times New Roman"/>
            <w:sz w:val="24"/>
            <w:szCs w:val="24"/>
          </w:rPr>
          <w:t>https://www.academia.edu/28770995/Direct_democracy_in_Hungary_from_popular_sovereignty_to_popular_illusion</w:t>
        </w:r>
      </w:hyperlink>
      <w:r w:rsidRPr="00546037">
        <w:rPr>
          <w:rFonts w:ascii="Times New Roman" w:hAnsi="Times New Roman" w:cs="Times New Roman"/>
          <w:sz w:val="24"/>
          <w:szCs w:val="24"/>
        </w:rPr>
        <w:t>]</w:t>
      </w:r>
    </w:p>
    <w:p w:rsidR="00546037" w:rsidRPr="00546037" w:rsidRDefault="00546037" w:rsidP="00546037">
      <w:pPr>
        <w:pStyle w:val="Norml1"/>
        <w:rPr>
          <w:rFonts w:ascii="Times New Roman" w:hAnsi="Times New Roman" w:cs="Times New Roman"/>
          <w:sz w:val="24"/>
          <w:szCs w:val="24"/>
        </w:rPr>
      </w:pPr>
    </w:p>
    <w:p w:rsidR="00546037" w:rsidRPr="00546037" w:rsidRDefault="00546037" w:rsidP="00546037">
      <w:pPr>
        <w:pStyle w:val="Norml1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46037">
        <w:rPr>
          <w:rFonts w:ascii="Times New Roman" w:hAnsi="Times New Roman" w:cs="Times New Roman"/>
          <w:sz w:val="24"/>
          <w:szCs w:val="24"/>
        </w:rPr>
        <w:t>NGOs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role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democratic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society</w:t>
      </w:r>
      <w:proofErr w:type="spellEnd"/>
    </w:p>
    <w:p w:rsidR="00546037" w:rsidRPr="00546037" w:rsidRDefault="00546037" w:rsidP="00546037">
      <w:pPr>
        <w:pStyle w:val="Norml1"/>
        <w:rPr>
          <w:rFonts w:ascii="Times New Roman" w:hAnsi="Times New Roman" w:cs="Times New Roman"/>
          <w:color w:val="545454"/>
          <w:sz w:val="24"/>
          <w:szCs w:val="24"/>
          <w:highlight w:val="white"/>
        </w:rPr>
      </w:pPr>
    </w:p>
    <w:p w:rsidR="00546037" w:rsidRPr="00546037" w:rsidRDefault="00546037" w:rsidP="00546037">
      <w:pPr>
        <w:pStyle w:val="Norml1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546037">
        <w:rPr>
          <w:rFonts w:ascii="Times New Roman" w:hAnsi="Times New Roman" w:cs="Times New Roman"/>
          <w:sz w:val="24"/>
          <w:szCs w:val="24"/>
        </w:rPr>
        <w:t>Opinion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Draft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Law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Transparency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Organisations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Receiving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Abroad -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Adopted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Venice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Commission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111th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Plenary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Session (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Venice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, 16-17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June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2017)</w:t>
      </w:r>
    </w:p>
    <w:p w:rsidR="00546037" w:rsidRPr="00546037" w:rsidRDefault="00546037" w:rsidP="00546037">
      <w:pPr>
        <w:pStyle w:val="Norml1"/>
        <w:ind w:left="720"/>
        <w:rPr>
          <w:rFonts w:ascii="Times New Roman" w:hAnsi="Times New Roman" w:cs="Times New Roman"/>
          <w:sz w:val="24"/>
          <w:szCs w:val="24"/>
        </w:rPr>
      </w:pPr>
      <w:r w:rsidRPr="00546037">
        <w:rPr>
          <w:rFonts w:ascii="Times New Roman" w:hAnsi="Times New Roman" w:cs="Times New Roman"/>
          <w:sz w:val="24"/>
          <w:szCs w:val="24"/>
        </w:rPr>
        <w:t>[</w:t>
      </w:r>
      <w:hyperlink r:id="rId13">
        <w:r w:rsidRPr="0054603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http://www.venice.coe.int/webforms/documents/?pdf=CDL-AD(2017)015-e</w:t>
        </w:r>
      </w:hyperlink>
      <w:r w:rsidRPr="00546037">
        <w:rPr>
          <w:rFonts w:ascii="Times New Roman" w:hAnsi="Times New Roman" w:cs="Times New Roman"/>
          <w:sz w:val="24"/>
          <w:szCs w:val="24"/>
        </w:rPr>
        <w:t>]</w:t>
      </w:r>
    </w:p>
    <w:p w:rsidR="00546037" w:rsidRPr="00546037" w:rsidRDefault="00546037" w:rsidP="00546037">
      <w:pPr>
        <w:pStyle w:val="Norml1"/>
        <w:rPr>
          <w:rFonts w:ascii="Times New Roman" w:hAnsi="Times New Roman" w:cs="Times New Roman"/>
          <w:sz w:val="24"/>
          <w:szCs w:val="24"/>
        </w:rPr>
      </w:pPr>
    </w:p>
    <w:p w:rsidR="00546037" w:rsidRPr="00546037" w:rsidRDefault="00546037" w:rsidP="00546037">
      <w:pPr>
        <w:pStyle w:val="Norml1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46037">
        <w:rPr>
          <w:rFonts w:ascii="Times New Roman" w:hAnsi="Times New Roman" w:cs="Times New Roman"/>
          <w:sz w:val="24"/>
          <w:szCs w:val="24"/>
        </w:rPr>
        <w:t>Systemic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constitutional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strategic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litigation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courts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and European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fora</w:t>
      </w:r>
      <w:proofErr w:type="spellEnd"/>
    </w:p>
    <w:p w:rsidR="00546037" w:rsidRPr="00546037" w:rsidRDefault="00546037" w:rsidP="00546037">
      <w:pPr>
        <w:pStyle w:val="Norml1"/>
        <w:ind w:left="720"/>
        <w:rPr>
          <w:rFonts w:ascii="Times New Roman" w:hAnsi="Times New Roman" w:cs="Times New Roman"/>
          <w:sz w:val="24"/>
          <w:szCs w:val="24"/>
        </w:rPr>
      </w:pPr>
    </w:p>
    <w:p w:rsidR="00546037" w:rsidRPr="00546037" w:rsidRDefault="00546037" w:rsidP="00546037">
      <w:pPr>
        <w:pStyle w:val="Norml1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of Szabó and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Vissy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v. Hungary (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no. </w:t>
      </w:r>
      <w:hyperlink r:id="rId14" w:anchor="%7B%22appno%22:%5B%2237138/14%22%5D%7D">
        <w:r w:rsidRPr="00546037">
          <w:rPr>
            <w:rFonts w:ascii="Times New Roman" w:hAnsi="Times New Roman" w:cs="Times New Roman"/>
            <w:sz w:val="24"/>
            <w:szCs w:val="24"/>
          </w:rPr>
          <w:t>37138/14</w:t>
        </w:r>
      </w:hyperlink>
      <w:r w:rsidRPr="00546037">
        <w:rPr>
          <w:rFonts w:ascii="Times New Roman" w:hAnsi="Times New Roman" w:cs="Times New Roman"/>
          <w:sz w:val="24"/>
          <w:szCs w:val="24"/>
        </w:rPr>
        <w:t>)</w:t>
      </w:r>
    </w:p>
    <w:p w:rsidR="00546037" w:rsidRPr="00546037" w:rsidRDefault="00546037" w:rsidP="00546037">
      <w:pPr>
        <w:pStyle w:val="Norml1"/>
        <w:ind w:left="720"/>
        <w:rPr>
          <w:rFonts w:ascii="Times New Roman" w:hAnsi="Times New Roman" w:cs="Times New Roman"/>
          <w:sz w:val="24"/>
          <w:szCs w:val="24"/>
        </w:rPr>
      </w:pPr>
      <w:r w:rsidRPr="00546037">
        <w:rPr>
          <w:rFonts w:ascii="Times New Roman" w:hAnsi="Times New Roman" w:cs="Times New Roman"/>
          <w:sz w:val="24"/>
          <w:szCs w:val="24"/>
        </w:rPr>
        <w:t>[</w:t>
      </w:r>
      <w:hyperlink r:id="rId15">
        <w:r w:rsidRPr="0054603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http://hudoc.echr.coe.int/eng?i=001-160020</w:t>
        </w:r>
      </w:hyperlink>
      <w:r w:rsidRPr="00546037">
        <w:rPr>
          <w:rFonts w:ascii="Times New Roman" w:hAnsi="Times New Roman" w:cs="Times New Roman"/>
          <w:sz w:val="24"/>
          <w:szCs w:val="24"/>
        </w:rPr>
        <w:t>]</w:t>
      </w:r>
    </w:p>
    <w:p w:rsidR="00546037" w:rsidRPr="00546037" w:rsidRDefault="00546037" w:rsidP="00546037">
      <w:pPr>
        <w:pStyle w:val="Norml1"/>
        <w:ind w:left="720"/>
        <w:rPr>
          <w:rFonts w:ascii="Times New Roman" w:hAnsi="Times New Roman" w:cs="Times New Roman"/>
          <w:sz w:val="24"/>
          <w:szCs w:val="24"/>
        </w:rPr>
      </w:pPr>
    </w:p>
    <w:p w:rsidR="00546037" w:rsidRPr="00546037" w:rsidRDefault="00546037" w:rsidP="00546037">
      <w:pPr>
        <w:pStyle w:val="Norml1"/>
        <w:ind w:left="720"/>
        <w:rPr>
          <w:rFonts w:ascii="Times New Roman" w:hAnsi="Times New Roman" w:cs="Times New Roman"/>
          <w:sz w:val="24"/>
          <w:szCs w:val="24"/>
        </w:rPr>
      </w:pPr>
      <w:r w:rsidRPr="00546037">
        <w:rPr>
          <w:rFonts w:ascii="Times New Roman" w:hAnsi="Times New Roman" w:cs="Times New Roman"/>
          <w:sz w:val="24"/>
          <w:szCs w:val="24"/>
        </w:rPr>
        <w:t xml:space="preserve">E. Pásztor: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Secret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gathering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– a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threshold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reach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gap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privacy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Europe and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Hungary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of Szabó and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Vissy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v. Hungary. (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>)</w:t>
      </w:r>
    </w:p>
    <w:p w:rsidR="00546037" w:rsidRPr="00546037" w:rsidRDefault="00546037" w:rsidP="00546037">
      <w:pPr>
        <w:pStyle w:val="Norml1"/>
        <w:ind w:left="720"/>
        <w:rPr>
          <w:rFonts w:ascii="Times New Roman" w:hAnsi="Times New Roman" w:cs="Times New Roman"/>
          <w:sz w:val="24"/>
          <w:szCs w:val="24"/>
        </w:rPr>
      </w:pPr>
    </w:p>
    <w:p w:rsidR="00546037" w:rsidRPr="00546037" w:rsidRDefault="00546037" w:rsidP="00546037">
      <w:pPr>
        <w:pStyle w:val="Norml1"/>
        <w:ind w:left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of Baka v. Hungary (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no. </w:t>
      </w:r>
      <w:hyperlink r:id="rId16" w:anchor="%7B%22appno%22:%5B%2220261/12%22%5D%7D">
        <w:r w:rsidRPr="00546037">
          <w:rPr>
            <w:rFonts w:ascii="Times New Roman" w:hAnsi="Times New Roman" w:cs="Times New Roman"/>
            <w:sz w:val="24"/>
            <w:szCs w:val="24"/>
          </w:rPr>
          <w:t>20261/12</w:t>
        </w:r>
      </w:hyperlink>
      <w:r w:rsidRPr="00546037">
        <w:rPr>
          <w:rFonts w:ascii="Times New Roman" w:hAnsi="Times New Roman" w:cs="Times New Roman"/>
          <w:sz w:val="24"/>
          <w:szCs w:val="24"/>
        </w:rPr>
        <w:t>)</w:t>
      </w:r>
    </w:p>
    <w:p w:rsidR="00546037" w:rsidRPr="00546037" w:rsidRDefault="00546037" w:rsidP="00546037">
      <w:pPr>
        <w:pStyle w:val="Norml1"/>
        <w:ind w:left="720"/>
        <w:rPr>
          <w:rFonts w:ascii="Times New Roman" w:hAnsi="Times New Roman" w:cs="Times New Roman"/>
          <w:sz w:val="24"/>
          <w:szCs w:val="24"/>
        </w:rPr>
      </w:pPr>
      <w:r w:rsidRPr="00546037">
        <w:rPr>
          <w:rFonts w:ascii="Times New Roman" w:hAnsi="Times New Roman" w:cs="Times New Roman"/>
          <w:sz w:val="24"/>
          <w:szCs w:val="24"/>
        </w:rPr>
        <w:t>[</w:t>
      </w:r>
      <w:hyperlink r:id="rId17">
        <w:r w:rsidRPr="0054603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http://hudoc.echr.coe.int/eng?i=001-163113</w:t>
        </w:r>
      </w:hyperlink>
      <w:r w:rsidRPr="00546037">
        <w:rPr>
          <w:rFonts w:ascii="Times New Roman" w:hAnsi="Times New Roman" w:cs="Times New Roman"/>
          <w:sz w:val="24"/>
          <w:szCs w:val="24"/>
        </w:rPr>
        <w:t xml:space="preserve">] </w:t>
      </w:r>
    </w:p>
    <w:p w:rsidR="00546037" w:rsidRPr="00546037" w:rsidRDefault="00546037" w:rsidP="00546037">
      <w:pPr>
        <w:pStyle w:val="Norml1"/>
        <w:ind w:left="720"/>
        <w:rPr>
          <w:rFonts w:ascii="Times New Roman" w:hAnsi="Times New Roman" w:cs="Times New Roman"/>
          <w:sz w:val="24"/>
          <w:szCs w:val="24"/>
        </w:rPr>
      </w:pPr>
    </w:p>
    <w:p w:rsidR="00546037" w:rsidRDefault="00546037" w:rsidP="00546037">
      <w:pPr>
        <w:pStyle w:val="Norml1"/>
        <w:ind w:left="720"/>
        <w:rPr>
          <w:rFonts w:ascii="Times New Roman" w:hAnsi="Times New Roman" w:cs="Times New Roman"/>
          <w:sz w:val="24"/>
          <w:szCs w:val="24"/>
        </w:rPr>
      </w:pPr>
    </w:p>
    <w:p w:rsidR="00546037" w:rsidRDefault="00546037" w:rsidP="00546037">
      <w:pPr>
        <w:pStyle w:val="Norml1"/>
        <w:ind w:left="720"/>
        <w:rPr>
          <w:rFonts w:ascii="Times New Roman" w:hAnsi="Times New Roman" w:cs="Times New Roman"/>
          <w:sz w:val="24"/>
          <w:szCs w:val="24"/>
        </w:rPr>
      </w:pPr>
    </w:p>
    <w:p w:rsidR="00546037" w:rsidRDefault="00546037" w:rsidP="00546037">
      <w:pPr>
        <w:pStyle w:val="Norml1"/>
        <w:ind w:left="720"/>
        <w:rPr>
          <w:rFonts w:ascii="Times New Roman" w:hAnsi="Times New Roman" w:cs="Times New Roman"/>
          <w:sz w:val="24"/>
          <w:szCs w:val="24"/>
        </w:rPr>
      </w:pPr>
    </w:p>
    <w:p w:rsidR="00546037" w:rsidRDefault="00546037" w:rsidP="00546037">
      <w:pPr>
        <w:pStyle w:val="Norml1"/>
        <w:ind w:left="720"/>
        <w:rPr>
          <w:rFonts w:ascii="Times New Roman" w:hAnsi="Times New Roman" w:cs="Times New Roman"/>
          <w:sz w:val="24"/>
          <w:szCs w:val="24"/>
        </w:rPr>
      </w:pPr>
    </w:p>
    <w:p w:rsidR="00546037" w:rsidRPr="00546037" w:rsidRDefault="00546037" w:rsidP="00546037">
      <w:pPr>
        <w:pStyle w:val="Norml1"/>
        <w:ind w:left="720"/>
        <w:rPr>
          <w:rFonts w:ascii="Times New Roman" w:eastAsia="Verdana" w:hAnsi="Times New Roman" w:cs="Times New Roman"/>
          <w:color w:val="333333"/>
          <w:sz w:val="24"/>
          <w:szCs w:val="24"/>
          <w:highlight w:val="white"/>
        </w:rPr>
      </w:pP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C</w:t>
      </w:r>
      <w:r w:rsidRPr="00546037">
        <w:rPr>
          <w:rFonts w:ascii="MS Mincho" w:eastAsia="MS Mincho" w:hAnsi="MS Mincho" w:cs="MS Mincho" w:hint="eastAsia"/>
          <w:sz w:val="24"/>
          <w:szCs w:val="24"/>
        </w:rPr>
        <w:t>‑</w:t>
      </w:r>
      <w:r w:rsidRPr="00546037">
        <w:rPr>
          <w:rFonts w:ascii="Times New Roman" w:hAnsi="Times New Roman" w:cs="Times New Roman"/>
          <w:sz w:val="24"/>
          <w:szCs w:val="24"/>
        </w:rPr>
        <w:t xml:space="preserve">288/12 of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Court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Justice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European Union, 8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April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546037" w:rsidRPr="00546037" w:rsidRDefault="00546037" w:rsidP="00546037">
      <w:pPr>
        <w:pStyle w:val="Norml1"/>
        <w:ind w:left="720"/>
        <w:rPr>
          <w:rFonts w:ascii="Times New Roman" w:hAnsi="Times New Roman" w:cs="Times New Roman"/>
          <w:sz w:val="24"/>
          <w:szCs w:val="24"/>
        </w:rPr>
      </w:pPr>
      <w:r w:rsidRPr="00546037">
        <w:rPr>
          <w:rFonts w:ascii="Times New Roman" w:eastAsia="Verdana" w:hAnsi="Times New Roman" w:cs="Times New Roman"/>
          <w:color w:val="333333"/>
          <w:sz w:val="24"/>
          <w:szCs w:val="24"/>
          <w:highlight w:val="white"/>
        </w:rPr>
        <w:t>[</w:t>
      </w:r>
      <w:hyperlink r:id="rId18">
        <w:r w:rsidRPr="0054603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http://curia.europa.eu/juris/document/document.jsf?docid=150641&amp;mode=req&amp;pageIndex=1&amp;dir=&amp;occ=first&amp;part=1&amp;text=&amp;doclang=EN&amp;cid=1132858</w:t>
        </w:r>
      </w:hyperlink>
      <w:r w:rsidRPr="00546037">
        <w:rPr>
          <w:rFonts w:ascii="Times New Roman" w:hAnsi="Times New Roman" w:cs="Times New Roman"/>
          <w:color w:val="1155CC"/>
          <w:sz w:val="24"/>
          <w:szCs w:val="24"/>
          <w:u w:val="single"/>
        </w:rPr>
        <w:t xml:space="preserve">] </w:t>
      </w:r>
    </w:p>
    <w:p w:rsidR="00546037" w:rsidRPr="00546037" w:rsidRDefault="00546037" w:rsidP="00546037">
      <w:pPr>
        <w:pStyle w:val="Norml1"/>
        <w:ind w:left="720"/>
        <w:rPr>
          <w:rFonts w:ascii="Times New Roman" w:hAnsi="Times New Roman" w:cs="Times New Roman"/>
          <w:sz w:val="24"/>
          <w:szCs w:val="24"/>
        </w:rPr>
      </w:pPr>
    </w:p>
    <w:p w:rsidR="00546037" w:rsidRPr="00546037" w:rsidRDefault="00546037" w:rsidP="00546037">
      <w:pPr>
        <w:pStyle w:val="Norml1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C</w:t>
      </w:r>
      <w:r w:rsidRPr="00546037">
        <w:rPr>
          <w:rFonts w:ascii="MS Mincho" w:eastAsia="MS Mincho" w:hAnsi="MS Mincho" w:cs="MS Mincho" w:hint="eastAsia"/>
          <w:sz w:val="24"/>
          <w:szCs w:val="24"/>
        </w:rPr>
        <w:t>‑</w:t>
      </w:r>
      <w:r w:rsidRPr="00546037">
        <w:rPr>
          <w:rFonts w:ascii="Times New Roman" w:hAnsi="Times New Roman" w:cs="Times New Roman"/>
          <w:sz w:val="24"/>
          <w:szCs w:val="24"/>
        </w:rPr>
        <w:t xml:space="preserve">286/12 of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Court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Justice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European Union, </w:t>
      </w:r>
      <w:proofErr w:type="gramStart"/>
      <w:r w:rsidRPr="00546037">
        <w:rPr>
          <w:rFonts w:ascii="Times New Roman" w:hAnsi="Times New Roman" w:cs="Times New Roman"/>
          <w:sz w:val="24"/>
          <w:szCs w:val="24"/>
        </w:rPr>
        <w:t>6 November</w:t>
      </w:r>
      <w:proofErr w:type="gramEnd"/>
      <w:r w:rsidRPr="00546037">
        <w:rPr>
          <w:rFonts w:ascii="Times New Roman" w:hAnsi="Times New Roman" w:cs="Times New Roman"/>
          <w:sz w:val="24"/>
          <w:szCs w:val="24"/>
        </w:rPr>
        <w:t xml:space="preserve"> 2012 </w:t>
      </w:r>
    </w:p>
    <w:p w:rsidR="00546037" w:rsidRPr="00546037" w:rsidRDefault="00546037" w:rsidP="00546037">
      <w:pPr>
        <w:pStyle w:val="Norml1"/>
        <w:ind w:left="720"/>
        <w:rPr>
          <w:rFonts w:ascii="Times New Roman" w:hAnsi="Times New Roman" w:cs="Times New Roman"/>
          <w:sz w:val="24"/>
          <w:szCs w:val="24"/>
        </w:rPr>
      </w:pPr>
      <w:r w:rsidRPr="00546037">
        <w:rPr>
          <w:rFonts w:ascii="Times New Roman" w:hAnsi="Times New Roman" w:cs="Times New Roman"/>
          <w:sz w:val="24"/>
          <w:szCs w:val="24"/>
        </w:rPr>
        <w:t>[</w:t>
      </w:r>
      <w:hyperlink r:id="rId19">
        <w:r w:rsidRPr="0054603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http://curia.europa.eu/juris/celex.jsf?celex=62012CJ0286&amp;lang1=hu&amp;type=TXT&amp;ancre=</w:t>
        </w:r>
      </w:hyperlink>
      <w:r w:rsidRPr="00546037">
        <w:rPr>
          <w:rFonts w:ascii="Times New Roman" w:hAnsi="Times New Roman" w:cs="Times New Roman"/>
          <w:color w:val="1155CC"/>
          <w:sz w:val="24"/>
          <w:szCs w:val="24"/>
          <w:u w:val="single"/>
        </w:rPr>
        <w:t xml:space="preserve">] </w:t>
      </w:r>
    </w:p>
    <w:p w:rsidR="00546037" w:rsidRPr="00546037" w:rsidRDefault="00546037" w:rsidP="00546037">
      <w:pPr>
        <w:pStyle w:val="Norml1"/>
        <w:rPr>
          <w:rFonts w:ascii="Times New Roman" w:hAnsi="Times New Roman" w:cs="Times New Roman"/>
          <w:sz w:val="24"/>
          <w:szCs w:val="24"/>
        </w:rPr>
      </w:pPr>
    </w:p>
    <w:p w:rsidR="00546037" w:rsidRPr="00546037" w:rsidRDefault="00546037" w:rsidP="00546037">
      <w:pPr>
        <w:pStyle w:val="Norml1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46037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litigation</w:t>
      </w:r>
      <w:proofErr w:type="spellEnd"/>
    </w:p>
    <w:p w:rsidR="00546037" w:rsidRPr="00546037" w:rsidRDefault="00546037" w:rsidP="00546037">
      <w:pPr>
        <w:pStyle w:val="Norml1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037" w:rsidRPr="00546037" w:rsidRDefault="00546037" w:rsidP="00546037">
      <w:pPr>
        <w:pStyle w:val="Norml1"/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46037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of Magyar Helsinki Bizottság v. Hungary (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no. </w:t>
      </w:r>
      <w:hyperlink r:id="rId20" w:anchor="%7B%22appno%22:%5B%2218030/11%22%5D%7D">
        <w:r w:rsidRPr="00546037">
          <w:rPr>
            <w:rFonts w:ascii="Times New Roman" w:hAnsi="Times New Roman" w:cs="Times New Roman"/>
            <w:sz w:val="24"/>
            <w:szCs w:val="24"/>
          </w:rPr>
          <w:t>18030/11</w:t>
        </w:r>
      </w:hyperlink>
      <w:r w:rsidRPr="00546037">
        <w:rPr>
          <w:rFonts w:ascii="Times New Roman" w:hAnsi="Times New Roman" w:cs="Times New Roman"/>
          <w:sz w:val="24"/>
          <w:szCs w:val="24"/>
        </w:rPr>
        <w:t>)</w:t>
      </w:r>
    </w:p>
    <w:p w:rsidR="00546037" w:rsidRPr="00546037" w:rsidRDefault="00546037" w:rsidP="00546037">
      <w:pPr>
        <w:pStyle w:val="Norml1"/>
        <w:rPr>
          <w:rFonts w:ascii="Times New Roman" w:hAnsi="Times New Roman" w:cs="Times New Roman"/>
          <w:sz w:val="24"/>
          <w:szCs w:val="24"/>
        </w:rPr>
      </w:pPr>
    </w:p>
    <w:p w:rsidR="00546037" w:rsidRPr="00546037" w:rsidRDefault="00546037" w:rsidP="00546037">
      <w:pPr>
        <w:pStyle w:val="Norml1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546037">
        <w:rPr>
          <w:rFonts w:ascii="Times New Roman" w:hAnsi="Times New Roman" w:cs="Times New Roman"/>
          <w:sz w:val="24"/>
          <w:szCs w:val="24"/>
        </w:rPr>
        <w:t xml:space="preserve">Civil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actions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beyond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? Civil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 w:rsidRPr="00546037">
        <w:rPr>
          <w:rFonts w:ascii="Times New Roman" w:hAnsi="Times New Roman" w:cs="Times New Roman"/>
          <w:sz w:val="24"/>
          <w:szCs w:val="24"/>
        </w:rPr>
        <w:t xml:space="preserve"> and civil </w:t>
      </w:r>
      <w:proofErr w:type="spellStart"/>
      <w:r w:rsidRPr="00546037">
        <w:rPr>
          <w:rFonts w:ascii="Times New Roman" w:hAnsi="Times New Roman" w:cs="Times New Roman"/>
          <w:sz w:val="24"/>
          <w:szCs w:val="24"/>
        </w:rPr>
        <w:t>disobedience</w:t>
      </w:r>
      <w:proofErr w:type="spellEnd"/>
    </w:p>
    <w:p w:rsidR="00546037" w:rsidRPr="00546037" w:rsidRDefault="00546037" w:rsidP="00546037">
      <w:pPr>
        <w:pStyle w:val="Norml1"/>
        <w:rPr>
          <w:rFonts w:ascii="Times New Roman" w:hAnsi="Times New Roman" w:cs="Times New Roman"/>
          <w:sz w:val="24"/>
          <w:szCs w:val="24"/>
        </w:rPr>
      </w:pPr>
    </w:p>
    <w:p w:rsidR="00546037" w:rsidRPr="00546037" w:rsidRDefault="00546037" w:rsidP="00546037">
      <w:pPr>
        <w:pStyle w:val="Norml1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bookmarkStart w:id="2" w:name="_GoBack"/>
      <w:bookmarkEnd w:id="2"/>
    </w:p>
    <w:p w:rsidR="00546037" w:rsidRPr="00546037" w:rsidRDefault="00546037" w:rsidP="00546037">
      <w:pPr>
        <w:pStyle w:val="Norml1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46037">
        <w:rPr>
          <w:rFonts w:ascii="Times New Roman" w:hAnsi="Times New Roman" w:cs="Times New Roman"/>
          <w:b/>
          <w:sz w:val="24"/>
          <w:szCs w:val="24"/>
          <w:lang w:val="en-GB"/>
        </w:rPr>
        <w:t>Core Criteria</w:t>
      </w:r>
    </w:p>
    <w:p w:rsidR="00546037" w:rsidRPr="00546037" w:rsidRDefault="00546037" w:rsidP="00546037">
      <w:pPr>
        <w:pStyle w:val="Norml1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546037">
        <w:rPr>
          <w:rFonts w:ascii="Times New Roman" w:hAnsi="Times New Roman" w:cs="Times New Roman"/>
          <w:sz w:val="24"/>
          <w:szCs w:val="24"/>
          <w:lang w:val="en-GB"/>
        </w:rPr>
        <w:t>class attendance (a maximum of three absences are permitted)</w:t>
      </w:r>
    </w:p>
    <w:p w:rsidR="00546037" w:rsidRPr="00546037" w:rsidRDefault="00546037" w:rsidP="00546037">
      <w:pPr>
        <w:pStyle w:val="Norml1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546037">
        <w:rPr>
          <w:rFonts w:ascii="Times New Roman" w:hAnsi="Times New Roman" w:cs="Times New Roman"/>
          <w:sz w:val="24"/>
          <w:szCs w:val="24"/>
          <w:lang w:val="en-GB"/>
        </w:rPr>
        <w:t xml:space="preserve">active in-class participation </w:t>
      </w:r>
    </w:p>
    <w:p w:rsidR="00546037" w:rsidRPr="00546037" w:rsidRDefault="00546037" w:rsidP="00546037">
      <w:pPr>
        <w:pStyle w:val="Norml1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546037">
        <w:rPr>
          <w:rFonts w:ascii="Times New Roman" w:hAnsi="Times New Roman" w:cs="Times New Roman"/>
          <w:sz w:val="24"/>
          <w:szCs w:val="24"/>
          <w:lang w:val="en-GB"/>
        </w:rPr>
        <w:t>a written essay (in a related topic freely chosen by the participant)</w:t>
      </w:r>
    </w:p>
    <w:p w:rsidR="00546037" w:rsidRPr="00546037" w:rsidRDefault="00546037" w:rsidP="00546037">
      <w:pPr>
        <w:pStyle w:val="Norml1"/>
        <w:rPr>
          <w:rFonts w:ascii="Times New Roman" w:hAnsi="Times New Roman" w:cs="Times New Roman"/>
          <w:sz w:val="24"/>
          <w:szCs w:val="24"/>
        </w:rPr>
      </w:pPr>
      <w:r w:rsidRPr="00546037">
        <w:rPr>
          <w:rFonts w:ascii="Times New Roman" w:hAnsi="Times New Roman" w:cs="Times New Roman"/>
          <w:sz w:val="24"/>
          <w:szCs w:val="24"/>
        </w:rPr>
        <w:tab/>
      </w:r>
    </w:p>
    <w:p w:rsidR="00546037" w:rsidRPr="00546037" w:rsidRDefault="00546037" w:rsidP="00546037">
      <w:pPr>
        <w:pStyle w:val="Norml1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5460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28C" w:rsidRPr="00546037" w:rsidRDefault="0093128C" w:rsidP="004C71B7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93128C" w:rsidRPr="00546037" w:rsidSect="00B9260F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0E0" w:rsidRDefault="001D00E0" w:rsidP="006A3E9F">
      <w:pPr>
        <w:spacing w:after="0" w:line="240" w:lineRule="auto"/>
      </w:pPr>
      <w:r>
        <w:separator/>
      </w:r>
    </w:p>
  </w:endnote>
  <w:endnote w:type="continuationSeparator" w:id="0">
    <w:p w:rsidR="001D00E0" w:rsidRDefault="001D00E0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0E0" w:rsidRDefault="001D00E0" w:rsidP="006A3E9F">
      <w:pPr>
        <w:spacing w:after="0" w:line="240" w:lineRule="auto"/>
      </w:pPr>
      <w:r>
        <w:separator/>
      </w:r>
    </w:p>
  </w:footnote>
  <w:footnote w:type="continuationSeparator" w:id="0">
    <w:p w:rsidR="001D00E0" w:rsidRDefault="001D00E0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E9F" w:rsidRDefault="006A3E9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6F3E35D" wp14:editId="65665E12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06F"/>
    <w:multiLevelType w:val="multilevel"/>
    <w:tmpl w:val="D2463D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9EC3611"/>
    <w:multiLevelType w:val="hybridMultilevel"/>
    <w:tmpl w:val="C02E3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20533"/>
    <w:multiLevelType w:val="hybridMultilevel"/>
    <w:tmpl w:val="491646AA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A97A03"/>
    <w:multiLevelType w:val="hybridMultilevel"/>
    <w:tmpl w:val="54BE8636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3C1F82"/>
    <w:multiLevelType w:val="hybridMultilevel"/>
    <w:tmpl w:val="E502283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04"/>
    <w:rsid w:val="00003524"/>
    <w:rsid w:val="00031F56"/>
    <w:rsid w:val="0008349D"/>
    <w:rsid w:val="00122B14"/>
    <w:rsid w:val="001241F1"/>
    <w:rsid w:val="00154A91"/>
    <w:rsid w:val="001D00E0"/>
    <w:rsid w:val="00214377"/>
    <w:rsid w:val="002A7467"/>
    <w:rsid w:val="002D4CE3"/>
    <w:rsid w:val="002F4EDE"/>
    <w:rsid w:val="0034091F"/>
    <w:rsid w:val="00347A6B"/>
    <w:rsid w:val="00375825"/>
    <w:rsid w:val="003D6FD0"/>
    <w:rsid w:val="004C71B7"/>
    <w:rsid w:val="00546037"/>
    <w:rsid w:val="005A64D8"/>
    <w:rsid w:val="00645101"/>
    <w:rsid w:val="006A370D"/>
    <w:rsid w:val="006A3E9F"/>
    <w:rsid w:val="006B41A4"/>
    <w:rsid w:val="007258B7"/>
    <w:rsid w:val="007B0F9D"/>
    <w:rsid w:val="007F4425"/>
    <w:rsid w:val="008B251A"/>
    <w:rsid w:val="008C6F6E"/>
    <w:rsid w:val="008E334E"/>
    <w:rsid w:val="00907F12"/>
    <w:rsid w:val="0093128C"/>
    <w:rsid w:val="00957CD4"/>
    <w:rsid w:val="00A01223"/>
    <w:rsid w:val="00A05CE3"/>
    <w:rsid w:val="00A34386"/>
    <w:rsid w:val="00A40DF6"/>
    <w:rsid w:val="00A66710"/>
    <w:rsid w:val="00B9260F"/>
    <w:rsid w:val="00C0178E"/>
    <w:rsid w:val="00C6762B"/>
    <w:rsid w:val="00C8090E"/>
    <w:rsid w:val="00C94228"/>
    <w:rsid w:val="00CB57FC"/>
    <w:rsid w:val="00CD59F5"/>
    <w:rsid w:val="00CF02A7"/>
    <w:rsid w:val="00CF4A2A"/>
    <w:rsid w:val="00DA3812"/>
    <w:rsid w:val="00DF137E"/>
    <w:rsid w:val="00E0037E"/>
    <w:rsid w:val="00E50966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260F"/>
  </w:style>
  <w:style w:type="paragraph" w:styleId="Cmsor2">
    <w:name w:val="heading 2"/>
    <w:basedOn w:val="Norml1"/>
    <w:next w:val="Norml1"/>
    <w:link w:val="Cmsor2Char"/>
    <w:rsid w:val="00546037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table" w:styleId="Rcsostblzat">
    <w:name w:val="Table Grid"/>
    <w:basedOn w:val="Normltblzat"/>
    <w:uiPriority w:val="59"/>
    <w:rsid w:val="00CD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rsid w:val="00546037"/>
    <w:rPr>
      <w:rFonts w:ascii="Arial" w:eastAsia="Arial" w:hAnsi="Arial" w:cs="Arial"/>
      <w:color w:val="000000"/>
      <w:sz w:val="32"/>
      <w:szCs w:val="32"/>
      <w:lang w:val="hu"/>
    </w:rPr>
  </w:style>
  <w:style w:type="paragraph" w:customStyle="1" w:styleId="Norml1">
    <w:name w:val="Normál1"/>
    <w:rsid w:val="00546037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260F"/>
  </w:style>
  <w:style w:type="paragraph" w:styleId="Cmsor2">
    <w:name w:val="heading 2"/>
    <w:basedOn w:val="Norml1"/>
    <w:next w:val="Norml1"/>
    <w:link w:val="Cmsor2Char"/>
    <w:rsid w:val="00546037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table" w:styleId="Rcsostblzat">
    <w:name w:val="Table Grid"/>
    <w:basedOn w:val="Normltblzat"/>
    <w:uiPriority w:val="59"/>
    <w:rsid w:val="00CD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rsid w:val="00546037"/>
    <w:rPr>
      <w:rFonts w:ascii="Arial" w:eastAsia="Arial" w:hAnsi="Arial" w:cs="Arial"/>
      <w:color w:val="000000"/>
      <w:sz w:val="32"/>
      <w:szCs w:val="32"/>
      <w:lang w:val="hu"/>
    </w:rPr>
  </w:style>
  <w:style w:type="paragraph" w:customStyle="1" w:styleId="Norml1">
    <w:name w:val="Normál1"/>
    <w:rsid w:val="00546037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enice.coe.int/webforms/documents/?pdf=CDL-AD(2017)015-e" TargetMode="External"/><Relationship Id="rId18" Type="http://schemas.openxmlformats.org/officeDocument/2006/relationships/hyperlink" Target="http://curia.europa.eu/juris/document/document.jsf?docid=150641&amp;mode=req&amp;pageIndex=1&amp;dir=&amp;occ=first&amp;part=1&amp;text=&amp;doclang=EN&amp;cid=1132858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academia.edu/28770995/Direct_democracy_in_Hungary_from_popular_sovereignty_to_popular_illusion" TargetMode="External"/><Relationship Id="rId17" Type="http://schemas.openxmlformats.org/officeDocument/2006/relationships/hyperlink" Target="http://hudoc.echr.coe.int/eng?i=001-1631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udoc.echr.coe.int/eng" TargetMode="External"/><Relationship Id="rId20" Type="http://schemas.openxmlformats.org/officeDocument/2006/relationships/hyperlink" Target="https://hudoc.echr.coe.int/en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jbh.hu/en/web/ajbh-en/annual-report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udoc.echr.coe.int/eng?i=001-1600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venice.coe.int/webforms/documents/?pdf=CDL-AD(2011)001-e" TargetMode="External"/><Relationship Id="rId19" Type="http://schemas.openxmlformats.org/officeDocument/2006/relationships/hyperlink" Target="http://curia.europa.eu/juris/celex.jsf?celex=62012CJ0286&amp;lang1=hu&amp;type=TXT&amp;ancre=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jk.elte.hu/file/annales_2012_05_SomodyVissy.pdf" TargetMode="External"/><Relationship Id="rId14" Type="http://schemas.openxmlformats.org/officeDocument/2006/relationships/hyperlink" Target="https://hudoc.echr.coe.int/eng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479EF-D9B1-4507-9BFA-13186C3E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Udovecz Ákos</cp:lastModifiedBy>
  <cp:revision>2</cp:revision>
  <dcterms:created xsi:type="dcterms:W3CDTF">2017-11-24T12:30:00Z</dcterms:created>
  <dcterms:modified xsi:type="dcterms:W3CDTF">2017-11-24T12:30:00Z</dcterms:modified>
</cp:coreProperties>
</file>